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ayout w:type="fixed"/>
        <w:tblCellMar>
          <w:left w:w="0" w:type="dxa"/>
          <w:right w:w="0" w:type="dxa"/>
        </w:tblCellMar>
        <w:tblLook w:val="0600" w:firstRow="0" w:lastRow="0" w:firstColumn="0" w:lastColumn="0" w:noHBand="1" w:noVBand="1"/>
        <w:tblDescription w:val="Header layout table"/>
      </w:tblPr>
      <w:tblGrid>
        <w:gridCol w:w="10800"/>
      </w:tblGrid>
      <w:tr w:rsidR="00A66B18" w:rsidRPr="0041428F" w:rsidTr="00A6783B">
        <w:trPr>
          <w:trHeight w:val="270"/>
          <w:jc w:val="center"/>
        </w:trPr>
        <w:tc>
          <w:tcPr>
            <w:tcW w:w="10800" w:type="dxa"/>
          </w:tcPr>
          <w:p w:rsidR="00A66B18" w:rsidRPr="0041428F" w:rsidRDefault="00A66B18" w:rsidP="00A66B18">
            <w:pPr>
              <w:pStyle w:val="ContactInfo"/>
              <w:rPr>
                <w:color w:val="000000" w:themeColor="text1"/>
              </w:rPr>
            </w:pPr>
            <w:r w:rsidRPr="0041428F">
              <w:rPr>
                <w:noProof/>
                <w:color w:val="000000" w:themeColor="text1"/>
                <w:lang w:eastAsia="en-US"/>
              </w:rPr>
              <mc:AlternateContent>
                <mc:Choice Requires="wps">
                  <w:drawing>
                    <wp:inline distT="0" distB="0" distL="0" distR="0" wp14:anchorId="29E64234" wp14:editId="0186833C">
                      <wp:extent cx="3030071" cy="407670"/>
                      <wp:effectExtent l="19050" t="19050" r="18415" b="26035"/>
                      <wp:docPr id="18" name="Shape 6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3030071" cy="407670"/>
                              </a:xfrm>
                              <a:prstGeom prst="rect">
                                <a:avLst/>
                              </a:prstGeom>
                              <a:ln w="38100">
                                <a:solidFill>
                                  <a:schemeClr val="bg1"/>
                                </a:solidFill>
                                <a:miter lim="400000"/>
                              </a:ln>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o="urn:schemas-microsoft-com:office:office" xmlns:v="urn:schemas-microsoft-com:vml" xmlns:w10="urn:schemas-microsoft-com:office:word" xmlns:w="http://schemas.openxmlformats.org/wordprocessingml/2006/main" xmlns:p="http://schemas.openxmlformats.org/presentationml/2006/main" xmlns:ma14="http://schemas.microsoft.com/office/mac/drawingml/2011/main" xmlns="" xmlns:lc="http://schemas.openxmlformats.org/drawingml/2006/lockedCanvas" val="1"/>
                                </a:ext>
                              </a:extLst>
                            </wps:spPr>
                            <wps:txbx>
                              <w:txbxContent>
                                <w:p w:rsidR="00A66B18" w:rsidRPr="009D3B29" w:rsidRDefault="009D3B29" w:rsidP="00AA089B">
                                  <w:pPr>
                                    <w:pStyle w:val="Logo"/>
                                  </w:pPr>
                                  <w:r w:rsidRPr="009D3B29">
                                    <w:t>TSMS</w:t>
                                  </w:r>
                                </w:p>
                                <w:p w:rsidR="009D3B29" w:rsidRPr="009D3B29" w:rsidRDefault="009D3B29" w:rsidP="009D3B29">
                                  <w:pPr>
                                    <w:rPr>
                                      <w:color w:val="000000" w:themeColor="text1"/>
                                    </w:rPr>
                                  </w:pPr>
                                  <w:r w:rsidRPr="009D3B29">
                                    <w:rPr>
                                      <w:color w:val="000000" w:themeColor="text1"/>
                                    </w:rPr>
                                    <w:t xml:space="preserve">      The </w:t>
                                  </w:r>
                                  <w:proofErr w:type="spellStart"/>
                                  <w:r w:rsidRPr="009D3B29">
                                    <w:rPr>
                                      <w:color w:val="000000" w:themeColor="text1"/>
                                    </w:rPr>
                                    <w:t>Techsoft</w:t>
                                  </w:r>
                                  <w:proofErr w:type="spellEnd"/>
                                  <w:r w:rsidRPr="009D3B29">
                                    <w:rPr>
                                      <w:color w:val="000000" w:themeColor="text1"/>
                                    </w:rPr>
                                    <w:t xml:space="preserve"> Media Co.</w:t>
                                  </w:r>
                                </w:p>
                              </w:txbxContent>
                            </wps:txbx>
                            <wps:bodyPr wrap="square" lIns="19050" tIns="19050" rIns="19050" bIns="19050" anchor="ctr">
                              <a:spAutoFit/>
                            </wps:bodyPr>
                          </wps:wsp>
                        </a:graphicData>
                      </a:graphic>
                    </wp:inline>
                  </w:drawing>
                </mc:Choice>
                <mc:Fallback>
                  <w:pict>
                    <v:rect w14:anchorId="29E64234" id="Shape 61" o:spid="_x0000_s1026" style="width:238.6pt;height:3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" filled="f" strokecolor="white [3212]" strokeweight="3pt">
                      <v:stroke miterlimit="4"/>
                      <v:textbox style="mso-fit-shape-to-text:t" inset="1.5pt,1.5pt,1.5pt,1.5pt">
                        <w:txbxContent>
                          <w:p w:rsidR="00A66B18" w:rsidRPr="009D3B29" w:rsidRDefault="009D3B29" w:rsidP="00AA089B">
                            <w:pPr>
                              <w:pStyle w:val="Logo"/>
                            </w:pPr>
                            <w:r w:rsidRPr="009D3B29">
                              <w:t>TSMS</w:t>
                            </w:r>
                          </w:p>
                          <w:p w:rsidR="009D3B29" w:rsidRPr="009D3B29" w:rsidRDefault="009D3B29" w:rsidP="009D3B29">
                            <w:pPr>
                              <w:rPr>
                                <w:color w:val="000000" w:themeColor="text1"/>
                              </w:rPr>
                            </w:pPr>
                            <w:r w:rsidRPr="009D3B29">
                              <w:rPr>
                                <w:color w:val="000000" w:themeColor="text1"/>
                              </w:rPr>
                              <w:t xml:space="preserve">      The </w:t>
                            </w:r>
                            <w:proofErr w:type="spellStart"/>
                            <w:r w:rsidRPr="009D3B29">
                              <w:rPr>
                                <w:color w:val="000000" w:themeColor="text1"/>
                              </w:rPr>
                              <w:t>Techsoft</w:t>
                            </w:r>
                            <w:proofErr w:type="spellEnd"/>
                            <w:r w:rsidRPr="009D3B29">
                              <w:rPr>
                                <w:color w:val="000000" w:themeColor="text1"/>
                              </w:rPr>
                              <w:t xml:space="preserve"> Media Co.</w:t>
                            </w:r>
                          </w:p>
                        </w:txbxContent>
                      </v:textbox>
                      <w10:anchorlock/>
                    </v:rect>
                  </w:pict>
                </mc:Fallback>
              </mc:AlternateContent>
            </w:r>
          </w:p>
        </w:tc>
      </w:tr>
      <w:tr w:rsidR="00615018" w:rsidRPr="0041428F" w:rsidTr="00A6783B">
        <w:trPr>
          <w:trHeight w:val="2691"/>
          <w:jc w:val="center"/>
        </w:trPr>
        <w:tc>
          <w:tcPr>
            <w:tcW w:w="10800" w:type="dxa"/>
            <w:vAlign w:val="bottom"/>
          </w:tcPr>
          <w:p w:rsidR="003E24DF" w:rsidRPr="0041428F" w:rsidRDefault="003E24DF" w:rsidP="009D3B29">
            <w:pPr>
              <w:pStyle w:val="ContactInfo"/>
              <w:ind w:left="0"/>
              <w:rPr>
                <w:color w:val="000000" w:themeColor="text1"/>
              </w:rPr>
            </w:pPr>
          </w:p>
        </w:tc>
      </w:tr>
    </w:tbl>
    <w:p w:rsidR="009D3B29" w:rsidRDefault="009D3B29" w:rsidP="009D3B29">
      <w:pPr>
        <w:ind w:left="0"/>
        <w:rPr>
          <w:rFonts w:ascii="Arial" w:hAnsi="Arial" w:cs="Arial"/>
          <w:b/>
          <w:color w:val="2E74B5"/>
        </w:rPr>
      </w:pPr>
    </w:p>
    <w:p w:rsidR="009D3B29" w:rsidRDefault="009D3B29" w:rsidP="009D3B29">
      <w:pPr>
        <w:ind w:left="0"/>
        <w:rPr>
          <w:rFonts w:ascii="Arial" w:hAnsi="Arial" w:cs="Arial"/>
          <w:b/>
          <w:color w:val="2E74B5"/>
        </w:rPr>
      </w:pPr>
      <w:r>
        <w:rPr>
          <w:rFonts w:ascii="Arial" w:hAnsi="Arial" w:cs="Arial"/>
          <w:b/>
          <w:color w:val="2E74B5"/>
        </w:rPr>
        <w:t>Guidelines for filling the NOC (SMS Sender name) document</w:t>
      </w:r>
    </w:p>
    <w:p w:rsidR="009D3B29" w:rsidRPr="009D3B29" w:rsidRDefault="009D3B29" w:rsidP="009D3B29">
      <w:pPr>
        <w:numPr>
          <w:ilvl w:val="0"/>
          <w:numId w:val="1"/>
        </w:numPr>
        <w:spacing w:before="0" w:after="200" w:line="276" w:lineRule="auto"/>
        <w:ind w:left="360" w:right="0"/>
        <w:rPr>
          <w:rFonts w:ascii="Arial" w:hAnsi="Arial" w:cs="Arial"/>
          <w:color w:val="auto"/>
          <w:sz w:val="20"/>
        </w:rPr>
      </w:pPr>
      <w:r w:rsidRPr="009D3B29">
        <w:rPr>
          <w:rFonts w:ascii="Arial" w:hAnsi="Arial" w:cs="Arial"/>
          <w:sz w:val="20"/>
        </w:rPr>
        <w:t>NOC should be put on company letter head and needs to be duly signed by authorized signatory of the company as defined in the trade license or POA</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NOC should carry the date.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The NOC should carry the SEAL of the company over the signature of the authorized signatory of the company as defined in the trade license or POA</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Sender name can be a </w:t>
      </w:r>
      <w:r w:rsidRPr="009D3B29">
        <w:rPr>
          <w:rFonts w:ascii="Arial" w:hAnsi="Arial" w:cs="Arial"/>
          <w:b/>
          <w:bCs/>
          <w:sz w:val="20"/>
        </w:rPr>
        <w:t>Maximum of 11 Characters</w:t>
      </w:r>
      <w:r w:rsidRPr="009D3B29">
        <w:rPr>
          <w:rFonts w:ascii="Arial" w:hAnsi="Arial" w:cs="Arial"/>
          <w:sz w:val="20"/>
        </w:rPr>
        <w:t xml:space="preserve"> without special characters. Space is also considered as a character.  For promotional sender names, “AD-</w:t>
      </w:r>
      <w:proofErr w:type="gramStart"/>
      <w:r w:rsidRPr="009D3B29">
        <w:rPr>
          <w:rFonts w:ascii="Arial" w:hAnsi="Arial" w:cs="Arial"/>
          <w:sz w:val="20"/>
        </w:rPr>
        <w:t>“ is</w:t>
      </w:r>
      <w:proofErr w:type="gramEnd"/>
      <w:r w:rsidRPr="009D3B29">
        <w:rPr>
          <w:rFonts w:ascii="Arial" w:hAnsi="Arial" w:cs="Arial"/>
          <w:sz w:val="20"/>
        </w:rPr>
        <w:t xml:space="preserve"> also calculated as 3 characters.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All Promotional sender names for UAE requires prefix of “AD-“.  For example, if your company name is “MYBRAND”, then the promotional sender name should be “AD-MYBRAND”.  No need to add this for transactional sender names.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Clearly specify the promotional sender name and transactional sender name in separate lines</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In case of multiple sender name request, Sender names should be mentioned separately in the area provided.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It is mandatory to submit a copy of the Trade License of the company which is applying for the sender name.  In case the sender name is different from company name, proper document supporting the relation between the company name and sender name should be submitted.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In case of multiple sender name request, trade license of all the companies should be submitted.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It is mandatory to describe the reason and the type of message (transactional or promotional) for each sender names requested. </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If a sender name is required for both type of messaging i.e. Promotional and Transactional, then the same sender names should be mentioned in two rows, once with message type “Transactional” and second one with message type “Promotional”</w:t>
      </w:r>
    </w:p>
    <w:p w:rsidR="009D3B29" w:rsidRPr="009D3B29" w:rsidRDefault="009D3B29" w:rsidP="009D3B29">
      <w:pPr>
        <w:numPr>
          <w:ilvl w:val="0"/>
          <w:numId w:val="1"/>
        </w:numPr>
        <w:spacing w:before="0" w:after="200" w:line="276" w:lineRule="auto"/>
        <w:ind w:left="360" w:right="0"/>
        <w:rPr>
          <w:rFonts w:ascii="Arial" w:hAnsi="Arial" w:cs="Arial"/>
          <w:sz w:val="20"/>
        </w:rPr>
      </w:pPr>
      <w:r w:rsidRPr="009D3B29">
        <w:rPr>
          <w:rFonts w:ascii="Arial" w:hAnsi="Arial" w:cs="Arial"/>
          <w:sz w:val="20"/>
        </w:rPr>
        <w:t xml:space="preserve">If the sender name letter is provided to a reseller or agency, then reseller / agency should submit a separate NOC </w:t>
      </w:r>
      <w:r w:rsidR="004255B7">
        <w:rPr>
          <w:rFonts w:ascii="Arial" w:hAnsi="Arial" w:cs="Arial"/>
          <w:sz w:val="20"/>
        </w:rPr>
        <w:t>to authorize Essentially TSMS</w:t>
      </w:r>
      <w:r w:rsidRPr="009D3B29">
        <w:rPr>
          <w:rFonts w:ascii="Arial" w:hAnsi="Arial" w:cs="Arial"/>
          <w:sz w:val="20"/>
        </w:rPr>
        <w:t xml:space="preserve"> along with Trade license copy.  Multiple sender names can be combined in one NOC from the Reseller</w:t>
      </w:r>
      <w:r w:rsidR="004255B7">
        <w:rPr>
          <w:rFonts w:ascii="Arial" w:hAnsi="Arial" w:cs="Arial"/>
          <w:sz w:val="20"/>
        </w:rPr>
        <w:t xml:space="preserve"> / Agency to Essentially TSMS</w:t>
      </w:r>
      <w:bookmarkStart w:id="0" w:name="_GoBack"/>
      <w:bookmarkEnd w:id="0"/>
      <w:r w:rsidRPr="009D3B29">
        <w:rPr>
          <w:rFonts w:ascii="Arial" w:hAnsi="Arial" w:cs="Arial"/>
          <w:sz w:val="20"/>
        </w:rPr>
        <w:t xml:space="preserve">. </w:t>
      </w:r>
    </w:p>
    <w:p w:rsidR="00A66B18" w:rsidRPr="0041428F" w:rsidRDefault="00A66B18" w:rsidP="009D3B29">
      <w:pPr>
        <w:pStyle w:val="Recipient"/>
      </w:pPr>
    </w:p>
    <w:sectPr w:rsidR="00A66B18" w:rsidRPr="0041428F" w:rsidSect="00A66B18">
      <w:headerReference w:type="default" r:id="rId10"/>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F73" w:rsidRDefault="005E0F73" w:rsidP="00A66B18">
      <w:pPr>
        <w:spacing w:before="0" w:after="0"/>
      </w:pPr>
      <w:r>
        <w:separator/>
      </w:r>
    </w:p>
  </w:endnote>
  <w:endnote w:type="continuationSeparator" w:id="0">
    <w:p w:rsidR="005E0F73" w:rsidRDefault="005E0F73"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altName w:val="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F73" w:rsidRDefault="005E0F73" w:rsidP="00A66B18">
      <w:pPr>
        <w:spacing w:before="0" w:after="0"/>
      </w:pPr>
      <w:r>
        <w:separator/>
      </w:r>
    </w:p>
  </w:footnote>
  <w:footnote w:type="continuationSeparator" w:id="0">
    <w:p w:rsidR="005E0F73" w:rsidRDefault="005E0F73" w:rsidP="00A66B1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B18" w:rsidRDefault="00A66B18">
    <w:pPr>
      <w:pStyle w:val="Header"/>
    </w:pPr>
    <w:r w:rsidRPr="0041428F">
      <w:rPr>
        <w:noProof/>
        <w:lang w:eastAsia="en-US"/>
      </w:rPr>
      <mc:AlternateContent>
        <mc:Choice Requires="wpg">
          <w:drawing>
            <wp:anchor distT="0" distB="0" distL="114300" distR="114300" simplePos="0" relativeHeight="251659264" behindDoc="1" locked="0" layoutInCell="1" allowOverlap="1" wp14:anchorId="7CFC25F5" wp14:editId="7B1CE8C3">
              <wp:simplePos x="0" y="0"/>
              <wp:positionH relativeFrom="column">
                <wp:posOffset>-457200</wp:posOffset>
              </wp:positionH>
              <wp:positionV relativeFrom="paragraph">
                <wp:posOffset>-457200</wp:posOffset>
              </wp:positionV>
              <wp:extent cx="8248650" cy="3030070"/>
              <wp:effectExtent l="0" t="0" r="0" b="0"/>
              <wp:wrapNone/>
              <wp:docPr id="19" name="Graphic 17" descr="Curved accent shapes that collectively build the header design"/>
              <wp:cNvGraphicFramePr/>
              <a:graphic xmlns:a="http://schemas.openxmlformats.org/drawingml/2006/main">
                <a:graphicData uri="http://schemas.microsoft.com/office/word/2010/wordprocessingGroup">
                  <wpg:wgp>
                    <wpg:cNvGrpSpPr/>
                    <wpg:grpSpPr>
                      <a:xfrm>
                        <a:off x="0" y="0"/>
                        <a:ext cx="8248650" cy="303007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B09F48" id="Graphic 17" o:spid="_x0000_s1026" alt="Curved accent shapes that collectively build the header design" style="position:absolute;margin-left:-36pt;margin-top:-36pt;width:649.5pt;height:238.6pt;z-index:-251657216;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">
              <v:shape id="Freeform: Shape 20" o:spid="_x0000_s1027" style="position:absolute;left:21216;top:-71;width:38767;height:17620;visibility:visible;mso-wrap-style:square;v-text-anchor:middle" coordsize="3876675,1762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7RMIA&#10;AADbAAAADwAAAGRycy9kb3ducmV2LnhtbERPTWsCMRC9C/6HMEJvmtVDsVujFGlLqXiotqC3IRmz&#10;oZvJsknd1V9vDkKPj/e9WPW+FmdqowusYDopQBDrYBxbBd/7t/EcREzIBuvApOBCEVbL4WCBpQkd&#10;f9F5l6zIIRxLVFCl1JRSRl2RxzgJDXHmTqH1mDJsrTQtdjnc13JWFI/So+PcUGFD64r07+7PK9hQ&#10;d73utwdtP93r0T3pYH/eD0o9jPqXZxCJ+vQvvrs/jIJZXp+/5B8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GLtEwgAAANsAAAAPAAAAAAAAAAAAAAAAAJgCAABkcnMvZG93&#10;bnJldi54bWxQSwUGAAAAAAQABAD1AAAAhwM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Zq2sQA&#10;AADbAAAADwAAAGRycy9kb3ducmV2LnhtbESPQWvCQBSE74L/YXlCb7oxFA2pqxQhILRCNYFeH9nX&#10;JG32bZpdk/TfdwsFj8PMfMPsDpNpxUC9aywrWK8iEMSl1Q1XCoo8WyYgnEfW2FomBT/k4LCfz3aY&#10;ajvyhYarr0SAsEtRQe19l0rpypoMupXtiIP3YXuDPsi+krrHMcBNK+Mo2kiDDYeFGjs61lR+XW9G&#10;wSu+ZLd3U2Tn7BtN/laePpPto1IPi+n5CYSnyd/D/+2TVhDH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GatrEAAAA2wAAAA8AAAAAAAAAAAAAAAAAmAIAAGRycy9k&#10;b3ducmV2LnhtbFBLBQYAAAAABAAEAPUAAACJAw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KPh8QA&#10;AADbAAAADwAAAGRycy9kb3ducmV2LnhtbESPT2vCQBTE70K/w/IK3symFsSmrhIEwZ7EP9TrM/ua&#10;Dc2+jdk1Rj99tyB4HGbmN8xs0dtadNT6yrGCtyQFQVw4XXGp4LBfjaYgfEDWWDsmBTfysJi/DGaY&#10;aXflLXW7UIoIYZ+hAhNCk0npC0MWfeIa4uj9uNZiiLItpW7xGuG2luM0nUiLFccFgw0tDRW/u4tV&#10;cNenY345f3xvN/evkzNFecQuV2r42uefIAL14Rl+tNdawfgd/r/E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Cj4fEAAAA2wAAAA8AAAAAAAAAAAAAAAAAmAIAAGRycy9k&#10;b3ducmV2LnhtbFBLBQYAAAAABAAEAPUAAACJAw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zoysMA&#10;AADbAAAADwAAAGRycy9kb3ducmV2LnhtbESPzWrDMBCE74W+g9hCb42cH0Jxo4Q0EMihCdTtAyzW&#10;+gdbKyOpstunjwKBHoeZ+YbZ7CbTi0jOt5YVzGcZCOLS6pZrBd9fx5dXED4ga+wtk4Jf8rDbPj5s&#10;MNd25E+KRahFgrDPUUETwpBL6cuGDPqZHYiTV1lnMCTpaqkdjgluernIsrU02HJaaHCgQ0NlV/wY&#10;BfHjeClcdajeoz53nVyu/+KISj0/Tfs3EIGm8B++t09awWIFty/p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zoysMAAADbAAAADwAAAAAAAAAAAAAAAACYAgAAZHJzL2Rv&#10;d25yZXYueG1sUEsFBgAAAAAEAAQA9QAAAIgD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B956D7"/>
    <w:multiLevelType w:val="hybridMultilevel"/>
    <w:tmpl w:val="A1D4DBCA"/>
    <w:lvl w:ilvl="0" w:tplc="0809000F">
      <w:start w:val="1"/>
      <w:numFmt w:val="decimal"/>
      <w:lvlText w:val="%1."/>
      <w:lvlJc w:val="left"/>
      <w:pPr>
        <w:tabs>
          <w:tab w:val="num" w:pos="5580"/>
        </w:tabs>
        <w:ind w:left="5580" w:hanging="360"/>
      </w:pPr>
    </w:lvl>
    <w:lvl w:ilvl="1" w:tplc="08090019">
      <w:start w:val="1"/>
      <w:numFmt w:val="lowerLetter"/>
      <w:lvlText w:val="%2."/>
      <w:lvlJc w:val="left"/>
      <w:pPr>
        <w:tabs>
          <w:tab w:val="num" w:pos="6300"/>
        </w:tabs>
        <w:ind w:left="6300" w:hanging="360"/>
      </w:pPr>
    </w:lvl>
    <w:lvl w:ilvl="2" w:tplc="0809001B">
      <w:start w:val="1"/>
      <w:numFmt w:val="lowerRoman"/>
      <w:lvlText w:val="%3."/>
      <w:lvlJc w:val="right"/>
      <w:pPr>
        <w:tabs>
          <w:tab w:val="num" w:pos="7020"/>
        </w:tabs>
        <w:ind w:left="7020" w:hanging="180"/>
      </w:pPr>
    </w:lvl>
    <w:lvl w:ilvl="3" w:tplc="0809000F">
      <w:start w:val="1"/>
      <w:numFmt w:val="decimal"/>
      <w:lvlText w:val="%4."/>
      <w:lvlJc w:val="left"/>
      <w:pPr>
        <w:tabs>
          <w:tab w:val="num" w:pos="7740"/>
        </w:tabs>
        <w:ind w:left="7740" w:hanging="360"/>
      </w:pPr>
    </w:lvl>
    <w:lvl w:ilvl="4" w:tplc="08090019">
      <w:start w:val="1"/>
      <w:numFmt w:val="lowerLetter"/>
      <w:lvlText w:val="%5."/>
      <w:lvlJc w:val="left"/>
      <w:pPr>
        <w:tabs>
          <w:tab w:val="num" w:pos="8460"/>
        </w:tabs>
        <w:ind w:left="8460" w:hanging="360"/>
      </w:pPr>
    </w:lvl>
    <w:lvl w:ilvl="5" w:tplc="0809001B">
      <w:start w:val="1"/>
      <w:numFmt w:val="lowerRoman"/>
      <w:lvlText w:val="%6."/>
      <w:lvlJc w:val="right"/>
      <w:pPr>
        <w:tabs>
          <w:tab w:val="num" w:pos="9180"/>
        </w:tabs>
        <w:ind w:left="9180" w:hanging="180"/>
      </w:pPr>
    </w:lvl>
    <w:lvl w:ilvl="6" w:tplc="0809000F">
      <w:start w:val="1"/>
      <w:numFmt w:val="decimal"/>
      <w:lvlText w:val="%7."/>
      <w:lvlJc w:val="left"/>
      <w:pPr>
        <w:tabs>
          <w:tab w:val="num" w:pos="9900"/>
        </w:tabs>
        <w:ind w:left="9900" w:hanging="360"/>
      </w:pPr>
    </w:lvl>
    <w:lvl w:ilvl="7" w:tplc="08090019">
      <w:start w:val="1"/>
      <w:numFmt w:val="lowerLetter"/>
      <w:lvlText w:val="%8."/>
      <w:lvlJc w:val="left"/>
      <w:pPr>
        <w:tabs>
          <w:tab w:val="num" w:pos="10620"/>
        </w:tabs>
        <w:ind w:left="10620" w:hanging="360"/>
      </w:pPr>
    </w:lvl>
    <w:lvl w:ilvl="8" w:tplc="0809001B">
      <w:start w:val="1"/>
      <w:numFmt w:val="lowerRoman"/>
      <w:lvlText w:val="%9."/>
      <w:lvlJc w:val="right"/>
      <w:pPr>
        <w:tabs>
          <w:tab w:val="num" w:pos="11340"/>
        </w:tabs>
        <w:ind w:left="113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B29"/>
    <w:rsid w:val="00083BAA"/>
    <w:rsid w:val="0010680C"/>
    <w:rsid w:val="00152B0B"/>
    <w:rsid w:val="001766D6"/>
    <w:rsid w:val="00192419"/>
    <w:rsid w:val="001C270D"/>
    <w:rsid w:val="001E2320"/>
    <w:rsid w:val="00214E28"/>
    <w:rsid w:val="00352B81"/>
    <w:rsid w:val="00394757"/>
    <w:rsid w:val="003A0150"/>
    <w:rsid w:val="003D3534"/>
    <w:rsid w:val="003E24DF"/>
    <w:rsid w:val="0041428F"/>
    <w:rsid w:val="004255B7"/>
    <w:rsid w:val="004A2B0D"/>
    <w:rsid w:val="005C2210"/>
    <w:rsid w:val="005E0F73"/>
    <w:rsid w:val="00615018"/>
    <w:rsid w:val="0062123A"/>
    <w:rsid w:val="00646E75"/>
    <w:rsid w:val="006F6F10"/>
    <w:rsid w:val="00783E79"/>
    <w:rsid w:val="007B5AE8"/>
    <w:rsid w:val="007F5192"/>
    <w:rsid w:val="009D3B29"/>
    <w:rsid w:val="00A26FE7"/>
    <w:rsid w:val="00A66B18"/>
    <w:rsid w:val="00A6783B"/>
    <w:rsid w:val="00A96CF8"/>
    <w:rsid w:val="00AA089B"/>
    <w:rsid w:val="00AE1388"/>
    <w:rsid w:val="00AF3982"/>
    <w:rsid w:val="00B50294"/>
    <w:rsid w:val="00B57D6E"/>
    <w:rsid w:val="00B83BED"/>
    <w:rsid w:val="00C701F7"/>
    <w:rsid w:val="00C70786"/>
    <w:rsid w:val="00D10958"/>
    <w:rsid w:val="00D66593"/>
    <w:rsid w:val="00DE6DA2"/>
    <w:rsid w:val="00DF2D30"/>
    <w:rsid w:val="00E4786A"/>
    <w:rsid w:val="00E55D74"/>
    <w:rsid w:val="00E6540C"/>
    <w:rsid w:val="00E81E2A"/>
    <w:rsid w:val="00EE0952"/>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3B"/>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1"/>
    <w:semiHidden/>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54009">
      <w:bodyDiv w:val="1"/>
      <w:marLeft w:val="0"/>
      <w:marRight w:val="0"/>
      <w:marTop w:val="0"/>
      <w:marBottom w:val="0"/>
      <w:divBdr>
        <w:top w:val="none" w:sz="0" w:space="0" w:color="auto"/>
        <w:left w:val="none" w:sz="0" w:space="0" w:color="auto"/>
        <w:bottom w:val="none" w:sz="0" w:space="0" w:color="auto"/>
        <w:right w:val="none" w:sz="0" w:space="0" w:color="auto"/>
      </w:divBdr>
    </w:div>
    <w:div w:id="195967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lue%20curve%20letterhead.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a8a52e8c320b9a064ae3583ae3861c9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8020cb39231a0945110f9cd888b521a"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62D5B660-4932-4A22-8C59-4E5235DA8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04023A-A2A1-445E-8B7C-04FB2DBA5906}">
  <ds:schemaRefs>
    <ds:schemaRef ds:uri="http://schemas.microsoft.com/sharepoint/v3/contenttype/forms"/>
  </ds:schemaRefs>
</ds:datastoreItem>
</file>

<file path=customXml/itemProps3.xml><?xml version="1.0" encoding="utf-8"?>
<ds:datastoreItem xmlns:ds="http://schemas.openxmlformats.org/officeDocument/2006/customXml" ds:itemID="{D072AD07-53A3-41FC-A530-2744C14395A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Blue curve letterhead</Template>
  <TotalTime>0</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2022-07-24T14:09:00Z</dcterms:created>
  <dcterms:modified xsi:type="dcterms:W3CDTF">2022-07-24T14:09:00Z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